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711eccb31438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40754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KOSTRENA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873.888,94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1.022.427,62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824.010,96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1.145.440,34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123.012,72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28.654,10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4.002,91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28.654,10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4.002,91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127.015,63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Rezultat poslovanja /Y005/ za prvo polugodište 2025.godine iskazuje manjak prihoda od 127.015,63 EUR-a. Ukupan financijski rezultat uvećan je za preneseni višak prihoda iz 2024. godine koji iznosi 30.933,52 EUR-a.
Ukupan manjak  prihoda  u narednom razdoblju je  96.082,11 EUR-a / Y006 /.
Prema novom Pravilniku 01.01.2025.godine članak 233 propisan je prijenos rashoda budućih razdoblja na odgovarajuće račune razreda 3 Rashodi poslovanja, te je iz navedenog razloga došlo metoldoškog manjka kako je prikazano u izještaju.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Iskazano stanje dospjelih obveza V007 je 0,00, kako je navedeno u obrascu Obveze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d822b50e6a45bb" /></Relationships>
</file>